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>Project Mandate - Coralvale Regional Council - 25/09/2026</w:t>
      </w:r>
    </w:p>
    <w:p>
      <w:pPr>
        <w:pStyle w:val="Heading1"/>
        <w:keepNext/>
      </w:pPr>
      <w:r>
        <w:t xml:space="preserve">Mandate Header (From, To, Background)</w:t>
      </w:r>
    </w:p>
    <w:tbl>
      <w:tblPr>
        <w:tblW w:type="dxa" w:w="960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02"/>
      </w:tblGrid>
      <w:tr>
        <w:trPr>
          <w:cantSplit/>
          <w:tblHeader/>
        </w:trPr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68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rPr>
                <w:b/>
                <w:bCs/>
              </w:rPr>
              <w:t xml:space="preserve">Entry</w:t>
            </w:r>
          </w:p>
        </w:tc>
      </w:tr>
      <w:tr>
        <w:trPr>
          <w:cantSplit/>
          <w:tblHeader w:val="false"/>
        </w:trPr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Council</w:t>
            </w:r>
          </w:p>
        </w:tc>
        <w:tc>
          <w:tcPr>
            <w:tcW w:type="dxa" w:w="68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>Coralvale Regional Council (QLD)</w:t>
            </w:r>
          </w:p>
        </w:tc>
      </w:tr>
      <w:tr>
        <w:trPr>
          <w:cantSplit/>
          <w:tblHeader w:val="false"/>
        </w:trPr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Subject</w:t>
            </w:r>
          </w:p>
        </w:tc>
        <w:tc>
          <w:tcPr>
            <w:tcW w:type="dxa" w:w="68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>Ridgeback Creek Water Treatment Plant</w:t>
            </w:r>
          </w:p>
        </w:tc>
      </w:tr>
      <w:tr>
        <w:trPr>
          <w:cantSplit/>
          <w:tblHeader w:val="false"/>
        </w:trPr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Date</w:t>
            </w:r>
          </w:p>
        </w:tc>
        <w:tc>
          <w:tcPr>
            <w:tcW w:type="dxa" w:w="68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25/09/2026</w:t>
            </w:r>
          </w:p>
        </w:tc>
      </w:tr>
      <w:tr>
        <w:trPr>
          <w:cantSplit/>
          <w:tblHeader w:val="false"/>
        </w:trPr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From</w:t>
            </w:r>
          </w:p>
        </w:tc>
        <w:tc>
          <w:tcPr>
            <w:tcW w:type="dxa" w:w="68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J. Smith, Manager Capital Delivery</w:t>
            </w:r>
          </w:p>
        </w:tc>
      </w:tr>
      <w:tr>
        <w:trPr>
          <w:cantSplit/>
          <w:tblHeader w:val="false"/>
        </w:trPr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To</w:t>
            </w:r>
          </w:p>
        </w:tc>
        <w:tc>
          <w:tcPr>
            <w:tcW w:type="dxa" w:w="68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Director Infrastructure Services</w:t>
            </w:r>
          </w:p>
        </w:tc>
      </w:tr>
      <w:tr>
        <w:trPr>
          <w:cantSplit/>
          <w:tblHeader w:val="false"/>
        </w:trPr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Prepared for</w:t>
            </w:r>
          </w:p>
        </w:tc>
        <w:tc>
          <w:tcPr>
            <w:tcW w:type="dxa" w:w="68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Chief Executive Officer and Executive Leadership Team</w:t>
            </w:r>
          </w:p>
        </w:tc>
      </w:tr>
      <w:tr>
        <w:trPr>
          <w:cantSplit/>
          <w:tblHeader w:val="false"/>
        </w:trPr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spacing w:after="0"/>
            </w:pPr>
            <w:r>
              <w:t xml:space="preserve">Background</w:t>
            </w:r>
          </w:p>
        </w:tc>
        <w:tc>
          <w:tcPr>
            <w:tcW w:type="dxa" w:w="68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spacing w:after="0"/>
            </w:pPr>
            <w:r>
              <w:t xml:space="preserve">Council resolved Option 3 in June 2026. Practical Completion is locked to the State grant funding deed. Wet season constrains the construction window.</w:t>
            </w:r>
          </w:p>
        </w:tc>
      </w:tr>
    </w:tbl>
    <w:p>
      <w:pPr>
        <w:spacing w:after="0" w:line="160"/>
      </w:pPr>
      <w:r>
        <w:rPr>
          <w:sz w:val="8"/>
          <w:szCs w:val="8"/>
        </w:rPr>
        <w:t xml:space="preserve"/>
      </w:r>
    </w:p>
    <w:p>
      <w:pPr>
        <w:pStyle w:val="Heading1"/>
        <w:keepNext/>
      </w:pPr>
      <w:r>
        <w:t xml:space="preserve">Strategic Problem or Opportunity Statement</w:t>
      </w:r>
    </w:p>
    <w:p>
      <w:pPr>
        <w:spacing w:after="140"/>
      </w:pPr>
      <w:r>
        <w:t>Ridgeback Creek Water Treatment Plant is at IPWEA NAMS+ Condition Grade 4 with a single 1980s clarifier train, manual dosing and no redundancy. Peak-day demand now exceeds firm capacity.</w:t>
      </w:r>
    </w:p>
    <w:p>
      <w:pPr>
        <w:spacing w:after="140"/>
      </w:pPr>
      <w:r>
        <w:t xml:space="preserve">The problem statement is a present shortfall, not a forecast one. On peak days the plant cannot meet demand from its firm capacity. With a single clarifier train and no redundancy, there is no standby if that train is out of service.</w:t>
      </w:r>
    </w:p>
    <w:p>
      <w:pPr>
        <w:spacing w:after="140"/>
      </w:pPr>
      <w:r>
        <w:t xml:space="preserve">Council has already resolved Option 3 as the response. The decision now sought is whether to authorise the work needed to deliver it within the funding and timing conditions set out below.</w:t>
      </w:r>
    </w:p>
    <w:p>
      <w:pPr>
        <w:pStyle w:val="Heading1"/>
        <w:keepNext/>
      </w:pPr>
      <w:r>
        <w:t xml:space="preserve">Project Objectives &amp; Corporate Alignment</w:t>
      </w:r>
    </w:p>
    <w:p>
      <w:pPr>
        <w:spacing w:after="140"/>
      </w:pPr>
      <w:r>
        <w:t xml:space="preserve">The target state is: A fully automated plant with 25 MLD firm capacity, duty/standby trains, SCADA integration and 1-in-100 year flood immunity.</w:t>
      </w:r>
    </w:p>
    <w:p>
      <w:pPr>
        <w:spacing w:after="140"/>
      </w:pPr>
      <w:r>
        <w:t xml:space="preserve">The project objectives are to: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Close the firm capacity shortfall by delivering 25 MLD firm capacity. Whether 25 MLD meets current and forecast peak-day demand is [VERIFY], and the Project Brief must confirm it.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Remove the single point of failure by providing duty/standby trains.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Replace manual dosing with full automation and SCADA integration.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Provide 1-in-100 year flood immunity.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Reach Practical Completion by 15/12/2027, as required by the State grant funding deed.</w:t>
      </w:r>
    </w:p>
    <w:p>
      <w:pPr>
        <w:spacing w:after="140"/>
      </w:pPr>
      <w:r>
        <w:t>Corporate Plan alignment: the project maps to the Coralvale Corporate Plan 2024-2029, Pillar 3 Sustainable Infrastructure, Goal 3.2. Its borrowing component is funded through the Long Term Financial Plan 2024-2034. The project therefore sits within Council's existing strategic and financial plans, and authorising it does not require a new strategic direction.</w:t>
      </w:r>
    </w:p>
    <w:p>
      <w:pPr>
        <w:pStyle w:val="Heading1"/>
        <w:keepNext/>
      </w:pPr>
      <w:r>
        <w:t xml:space="preserve">Scope Envelope &amp; Constraints</w:t>
      </w:r>
    </w:p>
    <w:p>
      <w:pPr>
        <w:spacing w:after="140"/>
      </w:pPr>
      <w:r>
        <w:t>The scope envelope is delivery of Option 3 at Ridgeback Creek Water Treatment Plant to the target state above, within the budget ceiling, procured by open public tender. At $18,500,000 ex-GST, the capital value is above the $200,000 ex-GST procurement threshold in the Coralvale Regional Council Procurement Policy 2026, adopted 24/06/2026, which is consistent with the resolved open public tender.</w:t>
      </w:r>
    </w:p>
    <w:tbl>
      <w:tblPr>
        <w:tblW w:type="dxa" w:w="960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400"/>
        <w:gridCol w:w="4202"/>
      </w:tblGrid>
      <w:tr>
        <w:trPr>
          <w:cantSplit/>
          <w:tblHeader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rPr>
                <w:b/>
                <w:bCs/>
              </w:rPr>
              <w:t xml:space="preserve">Milestone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rPr>
                <w:b/>
                <w:bCs/>
              </w:rPr>
              <w:t xml:space="preserve">Date</w:t>
            </w:r>
          </w:p>
        </w:tc>
        <w:tc>
          <w:tcPr>
            <w:tcW w:type="dxa" w:w="42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rPr>
                <w:b/>
                <w:bCs/>
              </w:rPr>
              <w:t xml:space="preserve">Driver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Tender advertised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01/2027</w:t>
            </w:r>
          </w:p>
        </w:tc>
        <w:tc>
          <w:tcPr>
            <w:tcW w:type="dxa" w:w="42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Tender award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03/2027</w:t>
            </w:r>
          </w:p>
        </w:tc>
        <w:tc>
          <w:tcPr>
            <w:tcW w:type="dxa" w:w="42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Set to clear the wet season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Construction start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05/2027</w:t>
            </w:r>
          </w:p>
        </w:tc>
        <w:tc>
          <w:tcPr>
            <w:tcW w:type="dxa" w:w="42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Practical Completion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15/12/2027</w:t>
            </w:r>
          </w:p>
        </w:tc>
        <w:tc>
          <w:tcPr>
            <w:tcW w:type="dxa" w:w="42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State grant funding deed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spacing w:after="0"/>
            </w:pPr>
            <w:r>
              <w:t xml:space="preserve">Defects liability ends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spacing w:after="0"/>
            </w:pPr>
            <w:r>
              <w:t xml:space="preserve">15/12/2028</w:t>
            </w:r>
          </w:p>
        </w:tc>
        <w:tc>
          <w:tcPr>
            <w:tcW w:type="dxa" w:w="42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spacing w:after="0"/>
            </w:pPr>
          </w:p>
        </w:tc>
      </w:tr>
    </w:tbl>
    <w:p>
      <w:pPr>
        <w:spacing w:after="0" w:line="160"/>
      </w:pPr>
      <w:r>
        <w:rPr>
          <w:sz w:val="8"/>
          <w:szCs w:val="8"/>
        </w:rPr>
        <w:t xml:space="preserve"/>
      </w:r>
    </w:p>
    <w:p>
      <w:pPr>
        <w:spacing w:after="140"/>
      </w:pPr>
      <w:r>
        <w:t xml:space="preserve">The key constraints are:</w:t>
      </w:r>
    </w:p>
    <w:p>
      <w:pPr>
        <w:pStyle w:val="ListParagraph"/>
        <w:numPr>
          <w:ilvl w:val="0"/>
          <w:numId w:val="3"/>
        </w:numPr>
        <w:spacing w:after="100"/>
      </w:pPr>
      <w:r>
        <w:t xml:space="preserve">Practical Completion on 15/12/2027 is a funding condition under the State grant funding deed, not a scheduling preference.</w:t>
      </w:r>
    </w:p>
    <w:p>
      <w:pPr>
        <w:pStyle w:val="ListParagraph"/>
        <w:numPr>
          <w:ilvl w:val="0"/>
          <w:numId w:val="3"/>
        </w:numPr>
        <w:spacing w:after="100"/>
      </w:pPr>
      <w:r>
        <w:t xml:space="preserve">Tender award in 03/2027 is set to clear the wet season. A late award pushes construction toward the wet season, which constrains the construction window.</w:t>
      </w:r>
    </w:p>
    <w:p>
      <w:pPr>
        <w:pStyle w:val="ListParagraph"/>
        <w:numPr>
          <w:ilvl w:val="0"/>
          <w:numId w:val="3"/>
        </w:numPr>
        <w:spacing w:after="100"/>
      </w:pPr>
      <w:r>
        <w:t xml:space="preserve">As Step 1 of the PRINCE2 chain, this Project Mandate must be followed by the Project Brief and Business Case before tender advertisement in 01/2027.</w:t>
      </w:r>
    </w:p>
    <w:p>
      <w:pPr>
        <w:spacing w:after="140"/>
      </w:pPr>
      <w:r>
        <w:t xml:space="preserve">Further constraints, scope exclusions and key stakeholders are [VERIFY].</w:t>
      </w:r>
    </w:p>
    <w:p>
      <w:pPr>
        <w:pStyle w:val="Heading1"/>
        <w:keepNext/>
      </w:pPr>
      <w:r>
        <w:t xml:space="preserve">Initial Budget Ceiling &amp; Funding Envelope</w:t>
      </w:r>
    </w:p>
    <w:p>
      <w:pPr>
        <w:spacing w:after="140"/>
      </w:pPr>
      <w:r>
        <w:t xml:space="preserve">The budget ceiling is </w:t>
      </w:r>
      <w:r>
        <w:rPr>
          <w:b/>
          <w:bCs/>
        </w:rPr>
        <w:t xml:space="preserve">$18,500,000 ex-GST</w:t>
      </w:r>
      <w:r>
        <w:t xml:space="preserve"> in capital expenditure, capped by Council decision.</w:t>
      </w:r>
    </w:p>
    <w:tbl>
      <w:tblPr>
        <w:tblW w:type="dxa" w:w="960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4602"/>
      </w:tblGrid>
      <w:tr>
        <w:trPr>
          <w:cantSplit/>
          <w:tblHeader/>
        </w:trPr>
        <w:tc>
          <w:tcPr>
            <w:tcW w:type="dxa" w:w="5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rPr>
                <w:b/>
                <w:bCs/>
              </w:rPr>
              <w:t xml:space="preserve">Funding source</w:t>
            </w:r>
          </w:p>
        </w:tc>
        <w:tc>
          <w:tcPr>
            <w:tcW w:type="dxa" w:w="46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rPr>
                <w:b/>
                <w:bCs/>
              </w:rPr>
              <w:t xml:space="preserve">Amount (ex-GST)</w:t>
            </w:r>
          </w:p>
        </w:tc>
      </w:tr>
      <w:tr>
        <w:trPr>
          <w:cantSplit/>
          <w:tblHeader w:val="false"/>
        </w:trPr>
        <w:tc>
          <w:tcPr>
            <w:tcW w:type="dxa" w:w="5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Borrowings under the Long Term Financial Plan 2024-2034</w:t>
            </w:r>
          </w:p>
        </w:tc>
        <w:tc>
          <w:tcPr>
            <w:tcW w:type="dxa" w:w="46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$13,500,000</w:t>
            </w:r>
          </w:p>
        </w:tc>
      </w:tr>
      <w:tr>
        <w:trPr>
          <w:cantSplit/>
          <w:tblHeader w:val="false"/>
        </w:trPr>
        <w:tc>
          <w:tcPr>
            <w:tcW w:type="dxa" w:w="5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Works for Queensland grant</w:t>
            </w:r>
          </w:p>
        </w:tc>
        <w:tc>
          <w:tcPr>
            <w:tcW w:type="dxa" w:w="46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$5,000,000</w:t>
            </w:r>
          </w:p>
        </w:tc>
      </w:tr>
      <w:tr>
        <w:trPr>
          <w:cantSplit/>
          <w:tblHeader w:val="false"/>
        </w:trPr>
        <w:tc>
          <w:tcPr>
            <w:tcW w:type="dxa" w:w="5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spacing w:after="0"/>
            </w:pPr>
            <w:r>
              <w:t xml:space="preserve">Total budget ceiling</w:t>
            </w:r>
          </w:p>
        </w:tc>
        <w:tc>
          <w:tcPr>
            <w:tcW w:type="dxa" w:w="46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spacing w:after="0"/>
            </w:pPr>
            <w:r>
              <w:t xml:space="preserve">$18,500,000</w:t>
            </w:r>
          </w:p>
        </w:tc>
      </w:tr>
    </w:tbl>
    <w:p>
      <w:pPr>
        <w:spacing w:after="0" w:line="160"/>
      </w:pPr>
      <w:r>
        <w:rPr>
          <w:sz w:val="8"/>
          <w:szCs w:val="8"/>
        </w:rPr>
        <w:t xml:space="preserve"/>
      </w:r>
    </w:p>
    <w:p>
      <w:pPr>
        <w:spacing w:after="140"/>
      </w:pPr>
      <w:r>
        <w:t xml:space="preserve">Operating expenditure reduces by $1,200,000 per year; the GST basis of this figure is [VERIFY].</w:t>
      </w:r>
    </w:p>
    <w:p>
      <w:pPr>
        <w:spacing w:after="140"/>
      </w:pPr>
      <w:r>
        <w:t xml:space="preserve">Because the ceiling is capped, any cost growth found during start-up must be managed inside this envelope. Whether the Works for Queensland grant is the funding under the State grant funding deed is [VERIFY]; if it is, the $5,000,000 ex-GST grant depends on meeting Practical Completion.</w:t>
      </w:r>
    </w:p>
    <w:p>
      <w:pPr>
        <w:pStyle w:val="Heading1"/>
        <w:keepNext/>
      </w:pPr>
      <w:r>
        <w:t xml:space="preserve">Nominated Project Sponsor &amp; Manager</w:t>
      </w:r>
    </w:p>
    <w:p>
      <w:pPr>
        <w:spacing w:after="140"/>
      </w:pPr>
      <w:r>
        <w:t xml:space="preserve">The nominated Project Sponsor is the Director Infrastructure Services. The Sponsor's financial delegation limit under the Council Delegations of Authority Register (CEO/Director Financial Limits) is [VERIFY] and must be confirmed against the $18,500,000 ex-GST budget ceiling before sign-off. A Project Manager has not yet been appointed; the nominated Project Manager is [VERIFY].</w:t>
      </w:r>
    </w:p>
    <w:p>
      <w:pPr>
        <w:pStyle w:val="Heading1"/>
        <w:keepNext/>
      </w:pPr>
      <w:r>
        <w:t xml:space="preserve">Authority to Proceed (Sign-off)</w:t>
      </w:r>
    </w:p>
    <w:p>
      <w:pPr>
        <w:spacing w:after="140"/>
      </w:pPr>
      <w:r>
        <w:t xml:space="preserve">Signing this Project Mandate gives authority to proceed with the PRINCE2 Starting Up a Project (SU) Process and triggers initial exploratory resource spend. It does not approve the Project Brief, Business Case or tender. The decision-maker for this authority is [VERIFY]. This matter is for consideration in open session.</w:t>
      </w:r>
    </w:p>
    <w:tbl>
      <w:tblPr>
        <w:tblW w:type="dxa" w:w="960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02"/>
      </w:tblGrid>
      <w:tr>
        <w:trPr>
          <w:cantSplit/>
          <w:tblHeader/>
        </w:trPr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68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rPr>
                <w:b/>
                <w:bCs/>
              </w:rPr>
              <w:t xml:space="preserve">Entry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Authorised by (signature)</w:t>
            </w:r>
          </w:p>
        </w:tc>
        <w:tc>
          <w:tcPr>
            <w:tcW w:type="dxa" w:w="68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  <w:r>
              <w:t xml:space="preserve">Name and position</w:t>
            </w:r>
          </w:p>
        </w:tc>
        <w:tc>
          <w:tcPr>
            <w:tcW w:type="dxa" w:w="68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keepLines/>
              <w:spacing w:after="0"/>
            </w:pP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spacing w:after="0"/>
            </w:pPr>
            <w:r>
              <w:t xml:space="preserve">Date (DD/MM/YYYY)</w:t>
            </w:r>
          </w:p>
        </w:tc>
        <w:tc>
          <w:tcPr>
            <w:tcW w:type="dxa" w:w="68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spacing w:after="0"/>
            </w:pPr>
          </w:p>
        </w:tc>
      </w:tr>
    </w:tbl>
    <w:p>
      <w:pPr>
        <w:spacing w:after="0" w:line="160"/>
      </w:pPr>
      <w:r>
        <w:rPr>
          <w:sz w:val="8"/>
          <w:szCs w:val="8"/>
        </w:rPr>
        <w:t xml:space="preserve"/>
      </w:r>
    </w:p>
    <w:sectPr>
      <w:headerReference w:type="default" r:id="rId8"/>
      <w:footerReference w:type="default" r:id="rId9"/>
      <w:headerReference w:type="first" r:id="rId10"/>
      <w:footerReference w:type="first" r:id="rId11"/>
      <w:headerReference w:type="even" r:id="rId12"/>
      <w:footerReference w:type="even" r:id="rId13"/>
      <w:pgSz w:w="11906" w:h="16838" w:orient="portrait"/>
      <w:pgMar w:top="1080" w:right="1152" w:bottom="1080" w:left="115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rFonts w:ascii="Arial" w:cs="Arial" w:eastAsia="Arial" w:hAnsi="Arial"/>
      <w:b/>
      <w:bCs/>
      <w:color w:val="1F3A5F"/>
      <w:sz w:val="52"/>
      <w:szCs w:val="52"/>
    </w:rPr>
  </w:style>
  <w:style w:type="paragraph" w:styleId="Heading1">
    <w:name w:val="Heading 1"/>
    <w:basedOn w:val="Normal"/>
    <w:next w:val="Normal"/>
    <w:qFormat/>
    <w:pPr>
      <w:spacing w:after="100" w:before="220"/>
      <w:outlineLvl w:val="0"/>
    </w:pPr>
    <w:rPr>
      <w:rFonts w:ascii="Arial" w:cs="Arial" w:eastAsia="Arial" w:hAnsi="Arial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Coralvale Regional Council (fictional)</dc:creator>
  <cp:lastModifiedBy>Coralvale Regional Council (fictional)</cp:lastModifiedBy>
  <cp:revision>1</cp:revision>
  <dcterms:created xsi:type="dcterms:W3CDTF">2026-09-24T21:13:59.812Z</dcterms:created>
  <dcterms:modified xsi:type="dcterms:W3CDTF">2026-09-24T21:13:59.812Z</dcterms:modified>
  <dc:description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